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7350" w14:textId="77777777" w:rsidR="000A7573" w:rsidRPr="00B3252B" w:rsidRDefault="000A7573" w:rsidP="00B3252B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n-US"/>
        </w:rPr>
      </w:pPr>
      <w:r w:rsidRPr="00B3252B">
        <w:rPr>
          <w:rFonts w:ascii="Arial" w:hAnsi="Arial" w:cs="Arial"/>
          <w:b/>
          <w:szCs w:val="24"/>
          <w:u w:val="single"/>
          <w:lang w:val="en-US"/>
        </w:rPr>
        <w:t xml:space="preserve">CONSULTAS CIUDADANAS </w:t>
      </w:r>
    </w:p>
    <w:p w14:paraId="23BF8148" w14:textId="77777777" w:rsidR="000A7573" w:rsidRPr="00B3252B" w:rsidRDefault="000A7573" w:rsidP="00B3252B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n-US"/>
        </w:rPr>
      </w:pPr>
      <w:r w:rsidRPr="00B3252B">
        <w:rPr>
          <w:rFonts w:ascii="Arial" w:hAnsi="Arial" w:cs="Arial"/>
          <w:b/>
          <w:szCs w:val="24"/>
          <w:u w:val="single"/>
          <w:lang w:val="en-US"/>
        </w:rPr>
        <w:t xml:space="preserve">PARTICIPACION CIUDADANA </w:t>
      </w:r>
    </w:p>
    <w:p w14:paraId="04CF69FF" w14:textId="77777777" w:rsidR="000A7573" w:rsidRPr="00B3252B" w:rsidRDefault="000A7573" w:rsidP="00B3252B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n-US"/>
        </w:rPr>
      </w:pPr>
    </w:p>
    <w:p w14:paraId="24221003" w14:textId="77777777" w:rsidR="000A7573" w:rsidRPr="00B3252B" w:rsidRDefault="000A7573" w:rsidP="00B3252B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"/>
        </w:rPr>
      </w:pPr>
      <w:r w:rsidRPr="00B3252B">
        <w:rPr>
          <w:rFonts w:ascii="Arial" w:hAnsi="Arial" w:cs="Arial"/>
          <w:b/>
          <w:szCs w:val="24"/>
          <w:u w:val="single"/>
          <w:lang w:val="es-ES"/>
        </w:rPr>
        <w:t>INFORME SEMESTRAL</w:t>
      </w:r>
    </w:p>
    <w:p w14:paraId="49CD1BA8" w14:textId="171CB7C9" w:rsidR="000A7573" w:rsidRPr="00B3252B" w:rsidRDefault="000A7573" w:rsidP="00B3252B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"/>
        </w:rPr>
      </w:pPr>
      <w:r w:rsidRPr="00B3252B">
        <w:rPr>
          <w:rFonts w:ascii="Arial" w:hAnsi="Arial" w:cs="Arial"/>
          <w:b/>
          <w:szCs w:val="24"/>
          <w:u w:val="single"/>
          <w:lang w:val="es-ES"/>
        </w:rPr>
        <w:t xml:space="preserve">Julio a </w:t>
      </w:r>
      <w:r w:rsidR="00B13D72" w:rsidRPr="00B3252B">
        <w:rPr>
          <w:rFonts w:ascii="Arial" w:hAnsi="Arial" w:cs="Arial"/>
          <w:b/>
          <w:szCs w:val="24"/>
          <w:u w:val="single"/>
          <w:lang w:val="es-ES"/>
        </w:rPr>
        <w:t>diciembre 2021</w:t>
      </w:r>
    </w:p>
    <w:p w14:paraId="5CAACA54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  <w:lang w:val="es-ES"/>
        </w:rPr>
      </w:pPr>
    </w:p>
    <w:p w14:paraId="1F20F19A" w14:textId="3EB38966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B3252B">
        <w:rPr>
          <w:rFonts w:ascii="Arial" w:hAnsi="Arial" w:cs="Arial"/>
          <w:szCs w:val="24"/>
        </w:rPr>
        <w:t xml:space="preserve">El presente informe fue elaborado a partir del registro de ciudadanos que visitaron la </w:t>
      </w:r>
      <w:r w:rsidRPr="00B3252B">
        <w:rPr>
          <w:rFonts w:ascii="Arial" w:hAnsi="Arial" w:cs="Arial"/>
          <w:b/>
          <w:szCs w:val="24"/>
        </w:rPr>
        <w:t xml:space="preserve">Honorable Cámara de Senadores </w:t>
      </w:r>
      <w:r w:rsidRPr="00B3252B">
        <w:rPr>
          <w:rFonts w:ascii="Arial" w:hAnsi="Arial" w:cs="Arial"/>
          <w:szCs w:val="24"/>
        </w:rPr>
        <w:t xml:space="preserve">en el periodo comprendido de los meses de </w:t>
      </w:r>
      <w:r w:rsidRPr="00B3252B">
        <w:rPr>
          <w:rFonts w:ascii="Arial" w:hAnsi="Arial" w:cs="Arial"/>
          <w:b/>
          <w:szCs w:val="24"/>
        </w:rPr>
        <w:t xml:space="preserve">julio a </w:t>
      </w:r>
      <w:r w:rsidR="00B3252B" w:rsidRPr="00B3252B">
        <w:rPr>
          <w:rFonts w:ascii="Arial" w:hAnsi="Arial" w:cs="Arial"/>
          <w:b/>
          <w:szCs w:val="24"/>
        </w:rPr>
        <w:t>diciembre del corriente año 2021</w:t>
      </w:r>
      <w:r w:rsidRPr="00B3252B">
        <w:rPr>
          <w:rFonts w:ascii="Arial" w:hAnsi="Arial" w:cs="Arial"/>
          <w:b/>
          <w:szCs w:val="24"/>
        </w:rPr>
        <w:t xml:space="preserve">. </w:t>
      </w:r>
    </w:p>
    <w:p w14:paraId="4DE168CD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5C3DB8DE" w14:textId="77777777" w:rsidR="00B3252B" w:rsidRPr="00DF66C5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B3252B">
        <w:rPr>
          <w:rFonts w:ascii="Arial" w:hAnsi="Arial" w:cs="Arial"/>
          <w:szCs w:val="24"/>
        </w:rPr>
        <w:t>Atendiendo a las circunstancias especiales sanitarias por la pandemia de Coronavirus COVID-19, la Ley de Emergencia Sanitaria y específicamente la Resolución N° 278/2020 Por la que se estable el protocolo sanitario de mitigación de riesgos de contagio del Coronavirus (COVID 19) dentro de las instalaciones de la Cámara de Senadores y el Congreso Nacional. (</w:t>
      </w:r>
      <w:r w:rsidRPr="00B3252B">
        <w:rPr>
          <w:rFonts w:ascii="Arial" w:hAnsi="Arial" w:cs="Arial"/>
          <w:i/>
          <w:iCs/>
          <w:szCs w:val="24"/>
        </w:rPr>
        <w:t>Que restringe el acceso del público en general a la sede del Congreso</w:t>
      </w:r>
      <w:r w:rsidRPr="00B3252B">
        <w:rPr>
          <w:rFonts w:ascii="Arial" w:hAnsi="Arial" w:cs="Arial"/>
          <w:szCs w:val="24"/>
        </w:rPr>
        <w:t xml:space="preserve">) </w:t>
      </w:r>
      <w:r w:rsidR="00B3252B">
        <w:rPr>
          <w:rFonts w:ascii="Arial" w:hAnsi="Arial" w:cs="Arial"/>
          <w:szCs w:val="24"/>
        </w:rPr>
        <w:t xml:space="preserve">y la posterior </w:t>
      </w:r>
      <w:r w:rsidR="00B3252B">
        <w:rPr>
          <w:rFonts w:ascii="Arial" w:hAnsi="Arial" w:cs="Arial"/>
        </w:rPr>
        <w:t>Resolución 436/2021 vigente desde el 20 de setiembre de 2021 “Por la que se establecen el Protocolo de levantamiento gradual del aislamiento preventivo por el Coronavirus (</w:t>
      </w:r>
      <w:proofErr w:type="spellStart"/>
      <w:r w:rsidR="00B3252B">
        <w:rPr>
          <w:rFonts w:ascii="Arial" w:hAnsi="Arial" w:cs="Arial"/>
        </w:rPr>
        <w:t>Covid</w:t>
      </w:r>
      <w:proofErr w:type="spellEnd"/>
      <w:r w:rsidR="00B3252B">
        <w:rPr>
          <w:rFonts w:ascii="Arial" w:hAnsi="Arial" w:cs="Arial"/>
        </w:rPr>
        <w:t xml:space="preserve"> 19), dentro de las instalaciones de la Honorable Cámara de Senadores”</w:t>
      </w:r>
      <w:r w:rsidR="00B3252B" w:rsidRPr="00DF66C5">
        <w:rPr>
          <w:rFonts w:ascii="Arial" w:hAnsi="Arial" w:cs="Arial"/>
          <w:szCs w:val="24"/>
        </w:rPr>
        <w:t xml:space="preserve"> en los últimos meses, se ha registrado </w:t>
      </w:r>
      <w:r w:rsidR="00B3252B">
        <w:rPr>
          <w:rFonts w:ascii="Arial" w:hAnsi="Arial" w:cs="Arial"/>
          <w:szCs w:val="24"/>
        </w:rPr>
        <w:t xml:space="preserve">una afluencia moderada </w:t>
      </w:r>
      <w:r w:rsidR="00B3252B" w:rsidRPr="00DF66C5">
        <w:rPr>
          <w:rFonts w:ascii="Arial" w:hAnsi="Arial" w:cs="Arial"/>
          <w:szCs w:val="24"/>
        </w:rPr>
        <w:t>al recinto parlamentario.</w:t>
      </w:r>
    </w:p>
    <w:p w14:paraId="1CBDFBC0" w14:textId="77777777" w:rsidR="00B3252B" w:rsidRDefault="00B3252B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0BA178DE" w14:textId="193B5DE1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B3252B">
        <w:rPr>
          <w:rFonts w:ascii="Arial" w:hAnsi="Arial" w:cs="Arial"/>
          <w:szCs w:val="24"/>
        </w:rPr>
        <w:t xml:space="preserve">Durante este periodo de tiempo han visitado la institución aproximadamente a </w:t>
      </w:r>
      <w:r w:rsidR="003E447B" w:rsidRPr="003E447B">
        <w:rPr>
          <w:rFonts w:ascii="Arial" w:hAnsi="Arial" w:cs="Arial"/>
          <w:b/>
          <w:szCs w:val="24"/>
        </w:rPr>
        <w:t>10.365</w:t>
      </w:r>
      <w:r w:rsidRPr="003E447B">
        <w:rPr>
          <w:rFonts w:ascii="Arial" w:hAnsi="Arial" w:cs="Arial"/>
          <w:szCs w:val="24"/>
        </w:rPr>
        <w:t xml:space="preserve"> </w:t>
      </w:r>
      <w:r w:rsidRPr="00B3252B">
        <w:rPr>
          <w:rFonts w:ascii="Arial" w:hAnsi="Arial" w:cs="Arial"/>
          <w:szCs w:val="24"/>
        </w:rPr>
        <w:t xml:space="preserve">personas, que han concurrido a la Presidencia, </w:t>
      </w:r>
      <w:r w:rsidR="00B3252B">
        <w:rPr>
          <w:rFonts w:ascii="Arial" w:hAnsi="Arial" w:cs="Arial"/>
          <w:szCs w:val="24"/>
        </w:rPr>
        <w:t>para</w:t>
      </w:r>
      <w:r w:rsidRPr="00B3252B">
        <w:rPr>
          <w:rFonts w:ascii="Arial" w:hAnsi="Arial" w:cs="Arial"/>
          <w:szCs w:val="24"/>
        </w:rPr>
        <w:t xml:space="preserve"> audiencias con los Senadores, a las Comisiones Asesoras y otras dependencias administrativas de la Cámara de Senadores, como son las Direcciones Generales de Administración y Finanzas, Talentos Humanos y Atención a la Ciudadanía.</w:t>
      </w:r>
    </w:p>
    <w:p w14:paraId="4CA6833C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2B05838B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B3252B">
        <w:rPr>
          <w:rFonts w:ascii="Arial" w:hAnsi="Arial" w:cs="Arial"/>
          <w:bCs/>
          <w:szCs w:val="24"/>
        </w:rPr>
        <w:t xml:space="preserve">Es muy importante destacar que estas actividades de consultas ciudadanas y participación ciudadana, contribuyen a alcanzar los Objetivos de Desarrollo </w:t>
      </w:r>
      <w:r w:rsidRPr="00B3252B">
        <w:rPr>
          <w:rFonts w:ascii="Arial" w:hAnsi="Arial" w:cs="Arial"/>
          <w:bCs/>
          <w:szCs w:val="24"/>
        </w:rPr>
        <w:lastRenderedPageBreak/>
        <w:t>Sostenible, específicamente el ODS #16 Paz, Justicia e Instituciones sólidas, promoviendo sociedades justas, pacíficas e inclusivas, metas a las que el Paraguay se ha comprometido.</w:t>
      </w:r>
    </w:p>
    <w:p w14:paraId="583C255B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1671EEBA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BE000CE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B8BB142" w14:textId="77777777" w:rsidR="000A7573" w:rsidRPr="00B3252B" w:rsidRDefault="000A7573" w:rsidP="00B3252B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B3252B">
        <w:rPr>
          <w:rFonts w:ascii="Arial" w:hAnsi="Arial" w:cs="Arial"/>
          <w:b/>
          <w:szCs w:val="24"/>
        </w:rPr>
        <w:t>DIRECCIÓN GENERAL DE ATENCIÓN A LA CIUDADANIA Y AIP</w:t>
      </w:r>
    </w:p>
    <w:p w14:paraId="491C0353" w14:textId="77777777" w:rsidR="000A7573" w:rsidRPr="00B3252B" w:rsidRDefault="000A7573" w:rsidP="00B3252B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B3252B">
        <w:rPr>
          <w:rFonts w:ascii="Arial" w:hAnsi="Arial" w:cs="Arial"/>
          <w:b/>
          <w:szCs w:val="24"/>
        </w:rPr>
        <w:t>DIRECCION DE PARTICIPACION CIUDADANA</w:t>
      </w:r>
    </w:p>
    <w:p w14:paraId="52B85288" w14:textId="2257C648" w:rsidR="000A7573" w:rsidRPr="00B3252B" w:rsidRDefault="000A7573" w:rsidP="00B3252B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B3252B">
        <w:rPr>
          <w:rFonts w:ascii="Arial" w:hAnsi="Arial" w:cs="Arial"/>
          <w:b/>
          <w:szCs w:val="24"/>
        </w:rPr>
        <w:t>16</w:t>
      </w:r>
      <w:r w:rsidR="00B3252B">
        <w:rPr>
          <w:rFonts w:ascii="Arial" w:hAnsi="Arial" w:cs="Arial"/>
          <w:b/>
          <w:szCs w:val="24"/>
        </w:rPr>
        <w:t>/12/2021</w:t>
      </w:r>
    </w:p>
    <w:p w14:paraId="0442FAE9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18A06569" w14:textId="731FA5DD" w:rsidR="00375546" w:rsidRDefault="00375546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DDD1D1A" w14:textId="77777777" w:rsidR="00375546" w:rsidRDefault="00375546" w:rsidP="00B3252B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  <w:lang w:eastAsia="es-PY"/>
        </w:rPr>
      </w:pPr>
    </w:p>
    <w:p w14:paraId="51DDA20A" w14:textId="2AD94FF4" w:rsidR="000A7573" w:rsidRDefault="000A7573" w:rsidP="00B3252B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  <w:lang w:eastAsia="es-PY"/>
        </w:rPr>
      </w:pPr>
      <w:r w:rsidRPr="00B3252B">
        <w:rPr>
          <w:rFonts w:ascii="Arial" w:hAnsi="Arial" w:cs="Arial"/>
          <w:b/>
          <w:szCs w:val="24"/>
          <w:u w:val="single"/>
          <w:lang w:eastAsia="es-PY"/>
        </w:rPr>
        <w:t>Gráfico estadístico completo</w:t>
      </w:r>
    </w:p>
    <w:p w14:paraId="72DAB50A" w14:textId="77777777" w:rsidR="003E447B" w:rsidRPr="00B3252B" w:rsidRDefault="003E447B" w:rsidP="00B3252B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  <w:lang w:eastAsia="es-PY"/>
        </w:rPr>
      </w:pPr>
    </w:p>
    <w:tbl>
      <w:tblPr>
        <w:tblW w:w="8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6"/>
        <w:gridCol w:w="620"/>
        <w:gridCol w:w="687"/>
        <w:gridCol w:w="620"/>
        <w:gridCol w:w="661"/>
        <w:gridCol w:w="674"/>
        <w:gridCol w:w="596"/>
        <w:gridCol w:w="1274"/>
      </w:tblGrid>
      <w:tr w:rsidR="003E447B" w:rsidRPr="00D25B6A" w14:paraId="08A317F2" w14:textId="77777777" w:rsidTr="00835F09">
        <w:trPr>
          <w:trHeight w:val="252"/>
        </w:trPr>
        <w:tc>
          <w:tcPr>
            <w:tcW w:w="39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ECFF"/>
            <w:noWrap/>
            <w:vAlign w:val="center"/>
            <w:hideMark/>
          </w:tcPr>
          <w:p w14:paraId="3B1046EF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PY"/>
              </w:rPr>
            </w:pPr>
            <w:r w:rsidRPr="00D25B6A">
              <w:rPr>
                <w:b/>
                <w:bCs/>
                <w:color w:val="000000"/>
                <w:lang w:eastAsia="es-PY"/>
              </w:rPr>
              <w:t>INDICADORES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7A7E009C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lang w:eastAsia="es-PY"/>
              </w:rPr>
            </w:pPr>
            <w:r w:rsidRPr="00D25B6A">
              <w:rPr>
                <w:b/>
                <w:bCs/>
                <w:lang w:eastAsia="es-PY"/>
              </w:rPr>
              <w:t>JUL</w:t>
            </w:r>
          </w:p>
        </w:tc>
        <w:tc>
          <w:tcPr>
            <w:tcW w:w="66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4EEA4CF1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lang w:eastAsia="es-PY"/>
              </w:rPr>
            </w:pPr>
            <w:r w:rsidRPr="00D25B6A">
              <w:rPr>
                <w:b/>
                <w:bCs/>
                <w:lang w:eastAsia="es-PY"/>
              </w:rPr>
              <w:t>AGO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0D96A587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lang w:eastAsia="es-PY"/>
              </w:rPr>
            </w:pPr>
            <w:r w:rsidRPr="00D25B6A">
              <w:rPr>
                <w:b/>
                <w:bCs/>
                <w:lang w:eastAsia="es-PY"/>
              </w:rPr>
              <w:t>SET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6758D5B3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lang w:eastAsia="es-PY"/>
              </w:rPr>
            </w:pPr>
            <w:r w:rsidRPr="00D25B6A">
              <w:rPr>
                <w:b/>
                <w:bCs/>
                <w:lang w:eastAsia="es-PY"/>
              </w:rPr>
              <w:t>OCT</w:t>
            </w:r>
          </w:p>
        </w:tc>
        <w:tc>
          <w:tcPr>
            <w:tcW w:w="6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560B33EE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PY"/>
              </w:rPr>
            </w:pPr>
            <w:r w:rsidRPr="00D25B6A">
              <w:rPr>
                <w:b/>
                <w:bCs/>
                <w:color w:val="000000"/>
                <w:lang w:eastAsia="es-PY"/>
              </w:rPr>
              <w:t>NOV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06D40DA0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lang w:eastAsia="es-PY"/>
              </w:rPr>
            </w:pPr>
            <w:r w:rsidRPr="00D25B6A">
              <w:rPr>
                <w:b/>
                <w:bCs/>
                <w:lang w:eastAsia="es-PY"/>
              </w:rPr>
              <w:t>DIC</w:t>
            </w:r>
          </w:p>
        </w:tc>
        <w:tc>
          <w:tcPr>
            <w:tcW w:w="12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101B76A3" w14:textId="77777777" w:rsidR="003E447B" w:rsidRPr="00D25B6A" w:rsidRDefault="003E447B" w:rsidP="00F900A2">
            <w:pPr>
              <w:spacing w:after="0" w:line="240" w:lineRule="auto"/>
              <w:jc w:val="center"/>
              <w:rPr>
                <w:b/>
                <w:bCs/>
                <w:lang w:eastAsia="es-PY"/>
              </w:rPr>
            </w:pPr>
            <w:r w:rsidRPr="00D25B6A">
              <w:rPr>
                <w:b/>
                <w:bCs/>
                <w:lang w:eastAsia="es-PY"/>
              </w:rPr>
              <w:t>TOTALES</w:t>
            </w:r>
          </w:p>
        </w:tc>
      </w:tr>
      <w:tr w:rsidR="003E447B" w:rsidRPr="00D25B6A" w14:paraId="36CA75A0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73DA5263" w14:textId="77777777" w:rsidR="003E447B" w:rsidRPr="00D25B6A" w:rsidRDefault="003E447B" w:rsidP="00F900A2">
            <w:pPr>
              <w:spacing w:after="0" w:line="240" w:lineRule="auto"/>
              <w:rPr>
                <w:b/>
                <w:bCs/>
                <w:color w:val="000000"/>
                <w:lang w:eastAsia="es-PY"/>
              </w:rPr>
            </w:pPr>
            <w:r w:rsidRPr="00D25B6A">
              <w:rPr>
                <w:b/>
                <w:bCs/>
                <w:color w:val="000000"/>
                <w:lang w:eastAsia="es-PY"/>
              </w:rPr>
              <w:t>*GENERO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9979801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7AF118A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240B74B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7C4A21F" w14:textId="77777777" w:rsidR="003E447B" w:rsidRPr="00D25B6A" w:rsidRDefault="003E447B" w:rsidP="00F900A2">
            <w:pPr>
              <w:spacing w:after="0" w:line="240" w:lineRule="auto"/>
              <w:rPr>
                <w:color w:val="FF0000"/>
                <w:lang w:eastAsia="es-PY"/>
              </w:rPr>
            </w:pPr>
            <w:r w:rsidRPr="00D25B6A">
              <w:rPr>
                <w:color w:val="FF0000"/>
                <w:lang w:eastAsia="es-PY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D8C4BFD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A4C02BF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112516D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 </w:t>
            </w:r>
          </w:p>
        </w:tc>
      </w:tr>
      <w:tr w:rsidR="003E447B" w:rsidRPr="00D25B6A" w14:paraId="065DD257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F495B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MASCULINO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D8EA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1228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4CF8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9645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62E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945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6A2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1338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91C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557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8339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6707</w:t>
            </w:r>
          </w:p>
        </w:tc>
      </w:tr>
      <w:tr w:rsidR="003E447B" w:rsidRPr="00D25B6A" w14:paraId="312DBA4D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5B02A9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FEMENINO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9EF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674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5D0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756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B0C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712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544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3F7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805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802F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289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2D1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3658</w:t>
            </w:r>
          </w:p>
        </w:tc>
      </w:tr>
      <w:tr w:rsidR="003E447B" w:rsidRPr="00D25B6A" w14:paraId="66F310CA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4250F5A9" w14:textId="77777777" w:rsidR="003E447B" w:rsidRPr="00D25B6A" w:rsidRDefault="003E447B" w:rsidP="00F900A2">
            <w:pPr>
              <w:spacing w:after="0" w:line="240" w:lineRule="auto"/>
              <w:rPr>
                <w:b/>
                <w:bCs/>
                <w:color w:val="000000"/>
                <w:lang w:eastAsia="es-PY"/>
              </w:rPr>
            </w:pPr>
            <w:r w:rsidRPr="00D25B6A">
              <w:rPr>
                <w:b/>
                <w:bCs/>
                <w:color w:val="000000"/>
                <w:lang w:eastAsia="es-PY"/>
              </w:rPr>
              <w:t>*EDAD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6ED3E7E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6834968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5A3E842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C11FEC5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967C0C2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C5A893F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8502D9F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</w:tr>
      <w:tr w:rsidR="003E447B" w:rsidRPr="00D25B6A" w14:paraId="51969E87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D80208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 xml:space="preserve">JOVEN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EEC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423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830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29D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4DA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24B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B95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FC8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1411</w:t>
            </w:r>
          </w:p>
        </w:tc>
      </w:tr>
      <w:tr w:rsidR="003E447B" w:rsidRPr="00D25B6A" w14:paraId="53F4F3A5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4C76D7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ADULTO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8C3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1479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C39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1731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711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1438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848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1404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B96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2076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C7D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826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437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8954</w:t>
            </w:r>
          </w:p>
        </w:tc>
      </w:tr>
      <w:tr w:rsidR="003E447B" w:rsidRPr="00D25B6A" w14:paraId="2BD935F8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33EFD5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 xml:space="preserve">VULNERABLES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7FD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741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A5A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490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126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86C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F78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0</w:t>
            </w:r>
          </w:p>
        </w:tc>
      </w:tr>
      <w:tr w:rsidR="003E447B" w:rsidRPr="00D25B6A" w14:paraId="0BD20031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46F8277C" w14:textId="77777777" w:rsidR="003E447B" w:rsidRPr="00D25B6A" w:rsidRDefault="003E447B" w:rsidP="00F900A2">
            <w:pPr>
              <w:spacing w:after="0" w:line="240" w:lineRule="auto"/>
              <w:rPr>
                <w:b/>
                <w:bCs/>
                <w:color w:val="000000"/>
                <w:lang w:eastAsia="es-PY"/>
              </w:rPr>
            </w:pPr>
            <w:r w:rsidRPr="00D25B6A">
              <w:rPr>
                <w:b/>
                <w:bCs/>
                <w:color w:val="000000"/>
                <w:lang w:eastAsia="es-PY"/>
              </w:rPr>
              <w:t>*TIPO DE INFO QUE BUSCA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90FA952" w14:textId="77777777" w:rsidR="003E447B" w:rsidRPr="00D25B6A" w:rsidRDefault="003E447B" w:rsidP="00F900A2">
            <w:pPr>
              <w:spacing w:after="0" w:line="240" w:lineRule="auto"/>
              <w:rPr>
                <w:color w:val="FF0000"/>
                <w:szCs w:val="24"/>
                <w:lang w:eastAsia="es-PY"/>
              </w:rPr>
            </w:pPr>
            <w:r w:rsidRPr="00D25B6A">
              <w:rPr>
                <w:color w:val="FF0000"/>
                <w:szCs w:val="24"/>
                <w:lang w:eastAsia="es-PY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8DF907F" w14:textId="77777777" w:rsidR="003E447B" w:rsidRPr="00D25B6A" w:rsidRDefault="003E447B" w:rsidP="00F900A2">
            <w:pPr>
              <w:spacing w:after="0" w:line="240" w:lineRule="auto"/>
              <w:rPr>
                <w:color w:val="FF0000"/>
                <w:szCs w:val="24"/>
                <w:lang w:eastAsia="es-PY"/>
              </w:rPr>
            </w:pPr>
            <w:r w:rsidRPr="00D25B6A">
              <w:rPr>
                <w:color w:val="FF0000"/>
                <w:szCs w:val="24"/>
                <w:lang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3B72C95" w14:textId="77777777" w:rsidR="003E447B" w:rsidRPr="00D25B6A" w:rsidRDefault="003E447B" w:rsidP="00F900A2">
            <w:pPr>
              <w:spacing w:after="0" w:line="240" w:lineRule="auto"/>
              <w:rPr>
                <w:color w:val="FF0000"/>
                <w:szCs w:val="24"/>
                <w:lang w:eastAsia="es-PY"/>
              </w:rPr>
            </w:pPr>
            <w:r w:rsidRPr="00D25B6A">
              <w:rPr>
                <w:color w:val="FF0000"/>
                <w:szCs w:val="24"/>
                <w:lang w:eastAsia="es-PY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5361ECE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8489409" w14:textId="77777777" w:rsidR="003E447B" w:rsidRPr="00D25B6A" w:rsidRDefault="003E447B" w:rsidP="00F900A2">
            <w:pPr>
              <w:spacing w:after="0" w:line="240" w:lineRule="auto"/>
              <w:rPr>
                <w:color w:val="FF0000"/>
                <w:szCs w:val="24"/>
                <w:lang w:eastAsia="es-PY"/>
              </w:rPr>
            </w:pPr>
            <w:r w:rsidRPr="00D25B6A">
              <w:rPr>
                <w:color w:val="FF0000"/>
                <w:szCs w:val="24"/>
                <w:lang w:eastAsia="es-PY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363F6E3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D031F3B" w14:textId="77777777" w:rsidR="003E447B" w:rsidRPr="00D25B6A" w:rsidRDefault="003E447B" w:rsidP="00F900A2">
            <w:pPr>
              <w:spacing w:after="0" w:line="240" w:lineRule="auto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 </w:t>
            </w:r>
          </w:p>
        </w:tc>
      </w:tr>
      <w:tr w:rsidR="003E447B" w:rsidRPr="00D25B6A" w14:paraId="2BB22A73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5DFE8B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PRESIDENCIA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A73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135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985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0FEF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BA5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136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37ED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E4E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487</w:t>
            </w:r>
          </w:p>
        </w:tc>
      </w:tr>
      <w:tr w:rsidR="003E447B" w:rsidRPr="00D25B6A" w14:paraId="1F0880F0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133586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AUDIENCIAS CONCEDIDAS POR SENADORES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4EB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675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9C1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895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54C" w14:textId="77777777" w:rsidR="003E447B" w:rsidRPr="00D25B6A" w:rsidRDefault="003E447B" w:rsidP="00F900A2">
            <w:pPr>
              <w:spacing w:after="0" w:line="240" w:lineRule="auto"/>
              <w:jc w:val="right"/>
              <w:rPr>
                <w:color w:val="000000"/>
                <w:szCs w:val="24"/>
                <w:lang w:eastAsia="es-PY"/>
              </w:rPr>
            </w:pPr>
            <w:r w:rsidRPr="00D25B6A">
              <w:rPr>
                <w:color w:val="000000"/>
                <w:szCs w:val="24"/>
                <w:lang w:eastAsia="es-PY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9B0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693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00E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1173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7C4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372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A43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4610</w:t>
            </w:r>
          </w:p>
        </w:tc>
      </w:tr>
      <w:tr w:rsidR="003E447B" w:rsidRPr="00D25B6A" w14:paraId="41F4173A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472D70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VISITAS A COMISIONES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8A5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204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C4D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86C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271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A36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288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7CC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305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273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146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1B6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1463</w:t>
            </w:r>
          </w:p>
        </w:tc>
      </w:tr>
      <w:tr w:rsidR="003E447B" w:rsidRPr="00D25B6A" w14:paraId="5F998853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2BEA2E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INFORMACIÓN PUBLICA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5F2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164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996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CB5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4F3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F61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183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4E1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102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758</w:t>
            </w:r>
          </w:p>
        </w:tc>
      </w:tr>
      <w:tr w:rsidR="003E447B" w:rsidRPr="00D25B6A" w14:paraId="55EAAB2A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0FC6C0" w14:textId="77777777" w:rsidR="003E447B" w:rsidRPr="00D25B6A" w:rsidRDefault="003E447B" w:rsidP="00F900A2">
            <w:pPr>
              <w:spacing w:after="0" w:line="240" w:lineRule="auto"/>
              <w:rPr>
                <w:color w:val="000000"/>
                <w:lang w:eastAsia="es-PY"/>
              </w:rPr>
            </w:pPr>
            <w:r w:rsidRPr="00D25B6A">
              <w:rPr>
                <w:color w:val="000000"/>
                <w:lang w:eastAsia="es-PY"/>
              </w:rPr>
              <w:t>OTRAS DEPENDENCIAS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B20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705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854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DBA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A47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378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A3C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346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4D6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183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4F1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3047</w:t>
            </w:r>
          </w:p>
        </w:tc>
      </w:tr>
      <w:tr w:rsidR="003E447B" w:rsidRPr="00D25B6A" w14:paraId="382FFF14" w14:textId="77777777" w:rsidTr="00835F09">
        <w:trPr>
          <w:trHeight w:val="241"/>
        </w:trPr>
        <w:tc>
          <w:tcPr>
            <w:tcW w:w="3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B54D64" w14:textId="77777777" w:rsidR="003E447B" w:rsidRPr="00D25B6A" w:rsidRDefault="003E447B" w:rsidP="00F900A2">
            <w:pPr>
              <w:spacing w:after="0" w:line="240" w:lineRule="auto"/>
              <w:rPr>
                <w:lang w:eastAsia="es-PY"/>
              </w:rPr>
            </w:pPr>
            <w:r w:rsidRPr="00D25B6A">
              <w:rPr>
                <w:lang w:eastAsia="es-PY"/>
              </w:rPr>
              <w:t>VISITA DE DELEGACIONES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4B8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3F2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13C" w14:textId="77777777" w:rsidR="003E447B" w:rsidRPr="00D25B6A" w:rsidRDefault="003E447B" w:rsidP="00F900A2">
            <w:pPr>
              <w:spacing w:after="0" w:line="240" w:lineRule="auto"/>
              <w:jc w:val="right"/>
              <w:rPr>
                <w:szCs w:val="24"/>
                <w:lang w:eastAsia="es-PY"/>
              </w:rPr>
            </w:pPr>
            <w:r w:rsidRPr="00D25B6A">
              <w:rPr>
                <w:szCs w:val="24"/>
                <w:lang w:eastAsia="es-PY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7DD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C48D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11D7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CEB" w14:textId="77777777" w:rsidR="003E447B" w:rsidRPr="00D25B6A" w:rsidRDefault="003E447B" w:rsidP="00F900A2">
            <w:pPr>
              <w:spacing w:after="0" w:line="240" w:lineRule="auto"/>
              <w:jc w:val="right"/>
              <w:rPr>
                <w:rFonts w:ascii="Calibri" w:hAnsi="Calibri" w:cs="Calibri"/>
                <w:lang w:eastAsia="es-PY"/>
              </w:rPr>
            </w:pPr>
            <w:r w:rsidRPr="00D25B6A">
              <w:rPr>
                <w:rFonts w:ascii="Calibri" w:hAnsi="Calibri" w:cs="Calibri"/>
                <w:lang w:eastAsia="es-PY"/>
              </w:rPr>
              <w:t>0</w:t>
            </w:r>
          </w:p>
        </w:tc>
      </w:tr>
      <w:tr w:rsidR="003E447B" w:rsidRPr="00D25B6A" w14:paraId="3D409D2E" w14:textId="77777777" w:rsidTr="00835F09">
        <w:trPr>
          <w:trHeight w:val="252"/>
        </w:trPr>
        <w:tc>
          <w:tcPr>
            <w:tcW w:w="39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245977D6" w14:textId="77777777" w:rsidR="003E447B" w:rsidRPr="00D25B6A" w:rsidRDefault="003E447B" w:rsidP="00F900A2">
            <w:pPr>
              <w:spacing w:after="0" w:line="240" w:lineRule="auto"/>
              <w:rPr>
                <w:b/>
                <w:bCs/>
                <w:color w:val="000000"/>
                <w:lang w:eastAsia="es-PY"/>
              </w:rPr>
            </w:pPr>
            <w:r w:rsidRPr="00D25B6A">
              <w:rPr>
                <w:b/>
                <w:bCs/>
                <w:color w:val="000000"/>
                <w:lang w:eastAsia="es-PY"/>
              </w:rPr>
              <w:t>TOTAL DEL MES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75710DB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1902</w:t>
            </w:r>
          </w:p>
        </w:tc>
        <w:tc>
          <w:tcPr>
            <w:tcW w:w="6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22E594F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2268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724E492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1717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D6189B5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1489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1ECDF56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2143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740C661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846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B072C70" w14:textId="77777777" w:rsidR="003E447B" w:rsidRPr="00D25B6A" w:rsidRDefault="003E447B" w:rsidP="00F900A2">
            <w:pPr>
              <w:spacing w:after="0" w:line="240" w:lineRule="auto"/>
              <w:jc w:val="right"/>
              <w:rPr>
                <w:b/>
                <w:bCs/>
                <w:szCs w:val="24"/>
                <w:lang w:eastAsia="es-PY"/>
              </w:rPr>
            </w:pPr>
            <w:r w:rsidRPr="00D25B6A">
              <w:rPr>
                <w:b/>
                <w:bCs/>
                <w:szCs w:val="24"/>
                <w:lang w:eastAsia="es-PY"/>
              </w:rPr>
              <w:t>10365</w:t>
            </w:r>
          </w:p>
        </w:tc>
      </w:tr>
    </w:tbl>
    <w:p w14:paraId="7B47A1EE" w14:textId="56B26A00" w:rsidR="000A7573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15997013" w14:textId="77777777" w:rsidR="00375546" w:rsidRPr="00B3252B" w:rsidRDefault="00375546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010DB7CD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B3252B">
        <w:rPr>
          <w:rFonts w:ascii="Arial" w:hAnsi="Arial" w:cs="Arial"/>
          <w:b/>
          <w:bCs/>
          <w:szCs w:val="24"/>
          <w:u w:val="single"/>
        </w:rPr>
        <w:t xml:space="preserve">Gráfico porcentual por indicadores de franja etaria </w:t>
      </w:r>
    </w:p>
    <w:p w14:paraId="0650F051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6A2019C8" w14:textId="6E28A140" w:rsidR="000A7573" w:rsidRDefault="003E447B" w:rsidP="003E447B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noProof/>
          <w:lang w:val="es-PY" w:eastAsia="es-PY"/>
        </w:rPr>
        <w:drawing>
          <wp:inline distT="0" distB="0" distL="0" distR="0" wp14:anchorId="27BF0611" wp14:editId="665890B7">
            <wp:extent cx="3369205" cy="2555081"/>
            <wp:effectExtent l="0" t="0" r="3175" b="1714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255E2A" w14:textId="77777777" w:rsidR="003E447B" w:rsidRPr="00B3252B" w:rsidRDefault="003E447B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C8A087E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0674CDE0" w14:textId="77777777" w:rsidR="000A7573" w:rsidRDefault="000A7573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B3252B">
        <w:rPr>
          <w:rFonts w:ascii="Arial" w:hAnsi="Arial" w:cs="Arial"/>
          <w:b/>
          <w:bCs/>
          <w:szCs w:val="24"/>
          <w:u w:val="single"/>
        </w:rPr>
        <w:t xml:space="preserve">Gráfico porcentual por indicadores de dependencias visitadas </w:t>
      </w:r>
    </w:p>
    <w:p w14:paraId="6F6A6F1E" w14:textId="77777777" w:rsidR="003E447B" w:rsidRDefault="003E447B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5C9A580F" w14:textId="65ED79CC" w:rsidR="003E447B" w:rsidRPr="00B3252B" w:rsidRDefault="003E447B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noProof/>
          <w:lang w:val="es-PY" w:eastAsia="es-PY"/>
        </w:rPr>
        <w:drawing>
          <wp:inline distT="0" distB="0" distL="0" distR="0" wp14:anchorId="62667BEC" wp14:editId="3BA073FD">
            <wp:extent cx="4561367" cy="2349796"/>
            <wp:effectExtent l="0" t="0" r="10795" b="1270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0AC6D8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B28D930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B3252B">
        <w:rPr>
          <w:rFonts w:ascii="Arial" w:hAnsi="Arial" w:cs="Arial"/>
          <w:i/>
          <w:szCs w:val="24"/>
        </w:rPr>
        <w:t>Obs.: Otras dependencias administrativas de la Cámara de Senadores, como son: Direcciones Generales de Administración y Finanzas, UOC, Tesorería, Mantenimiento, Talentos Humanos, Atención a la Ciudadanía y Acceso a la Información Pública.</w:t>
      </w:r>
    </w:p>
    <w:p w14:paraId="649E2277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i/>
          <w:szCs w:val="24"/>
        </w:rPr>
      </w:pPr>
    </w:p>
    <w:p w14:paraId="219D288B" w14:textId="77777777" w:rsidR="000A7573" w:rsidRDefault="000A7573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B3252B">
        <w:rPr>
          <w:rFonts w:ascii="Arial" w:hAnsi="Arial" w:cs="Arial"/>
          <w:b/>
          <w:bCs/>
          <w:szCs w:val="24"/>
          <w:u w:val="single"/>
        </w:rPr>
        <w:t xml:space="preserve">Gráfico por indicadores de género </w:t>
      </w:r>
    </w:p>
    <w:p w14:paraId="158E782B" w14:textId="1A9A4018" w:rsidR="003E447B" w:rsidRPr="00B3252B" w:rsidRDefault="00835F09" w:rsidP="00B3252B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noProof/>
          <w:lang w:val="es-PY" w:eastAsia="es-PY"/>
        </w:rPr>
        <w:drawing>
          <wp:inline distT="0" distB="0" distL="0" distR="0" wp14:anchorId="2A999DBB" wp14:editId="62C64A17">
            <wp:extent cx="4688958" cy="2062480"/>
            <wp:effectExtent l="0" t="0" r="16510" b="139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5E0E1D" w14:textId="77777777" w:rsidR="000A7573" w:rsidRPr="00B3252B" w:rsidRDefault="000A7573" w:rsidP="00B3252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7B504B5E" w14:textId="77777777" w:rsidR="000A7573" w:rsidRPr="00B3252B" w:rsidRDefault="000A7573" w:rsidP="00B3252B">
      <w:pPr>
        <w:spacing w:after="0" w:line="360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B3252B">
        <w:rPr>
          <w:rFonts w:ascii="Arial" w:hAnsi="Arial" w:cs="Arial"/>
          <w:szCs w:val="24"/>
        </w:rPr>
        <w:t>------------------------</w:t>
      </w:r>
    </w:p>
    <w:sectPr w:rsidR="000A7573" w:rsidRPr="00B3252B" w:rsidSect="00B3252B">
      <w:headerReference w:type="default" r:id="rId11"/>
      <w:footerReference w:type="default" r:id="rId12"/>
      <w:type w:val="continuous"/>
      <w:pgSz w:w="11906" w:h="16838" w:code="9"/>
      <w:pgMar w:top="2836" w:right="1701" w:bottom="1560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C668" w14:textId="77777777" w:rsidR="009E09A1" w:rsidRDefault="009E09A1" w:rsidP="00FE71BE">
      <w:pPr>
        <w:spacing w:after="0" w:line="240" w:lineRule="auto"/>
      </w:pPr>
      <w:r>
        <w:separator/>
      </w:r>
    </w:p>
  </w:endnote>
  <w:endnote w:type="continuationSeparator" w:id="0">
    <w:p w14:paraId="7064D70A" w14:textId="77777777" w:rsidR="009E09A1" w:rsidRDefault="009E09A1" w:rsidP="00FE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8439" w14:textId="77777777" w:rsidR="000A0F21" w:rsidRDefault="000A0F21">
    <w:pPr>
      <w:pStyle w:val="Piedepgina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3A7646BB" wp14:editId="66843891">
          <wp:simplePos x="0" y="0"/>
          <wp:positionH relativeFrom="column">
            <wp:posOffset>-669825</wp:posOffset>
          </wp:positionH>
          <wp:positionV relativeFrom="paragraph">
            <wp:posOffset>46990</wp:posOffset>
          </wp:positionV>
          <wp:extent cx="6873040" cy="64832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D8B1" w14:textId="77777777" w:rsidR="009E09A1" w:rsidRDefault="009E09A1" w:rsidP="00FE71BE">
      <w:pPr>
        <w:spacing w:after="0" w:line="240" w:lineRule="auto"/>
      </w:pPr>
      <w:r>
        <w:separator/>
      </w:r>
    </w:p>
  </w:footnote>
  <w:footnote w:type="continuationSeparator" w:id="0">
    <w:p w14:paraId="5FEAB4D8" w14:textId="77777777" w:rsidR="009E09A1" w:rsidRDefault="009E09A1" w:rsidP="00FE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215F" w14:textId="77777777" w:rsidR="00FE71BE" w:rsidRDefault="000F60B4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133E0165" wp14:editId="4CC847C6">
          <wp:simplePos x="0" y="0"/>
          <wp:positionH relativeFrom="column">
            <wp:posOffset>-591820</wp:posOffset>
          </wp:positionH>
          <wp:positionV relativeFrom="paragraph">
            <wp:posOffset>-373380</wp:posOffset>
          </wp:positionV>
          <wp:extent cx="6429375" cy="156576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B5D"/>
    <w:multiLevelType w:val="hybridMultilevel"/>
    <w:tmpl w:val="536E008A"/>
    <w:lvl w:ilvl="0" w:tplc="FD10F60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796" w:hanging="360"/>
      </w:pPr>
    </w:lvl>
    <w:lvl w:ilvl="2" w:tplc="3C0A001B" w:tentative="1">
      <w:start w:val="1"/>
      <w:numFmt w:val="lowerRoman"/>
      <w:lvlText w:val="%3."/>
      <w:lvlJc w:val="right"/>
      <w:pPr>
        <w:ind w:left="1516" w:hanging="180"/>
      </w:pPr>
    </w:lvl>
    <w:lvl w:ilvl="3" w:tplc="3C0A000F" w:tentative="1">
      <w:start w:val="1"/>
      <w:numFmt w:val="decimal"/>
      <w:lvlText w:val="%4."/>
      <w:lvlJc w:val="left"/>
      <w:pPr>
        <w:ind w:left="2236" w:hanging="360"/>
      </w:pPr>
    </w:lvl>
    <w:lvl w:ilvl="4" w:tplc="3C0A0019" w:tentative="1">
      <w:start w:val="1"/>
      <w:numFmt w:val="lowerLetter"/>
      <w:lvlText w:val="%5."/>
      <w:lvlJc w:val="left"/>
      <w:pPr>
        <w:ind w:left="2956" w:hanging="360"/>
      </w:pPr>
    </w:lvl>
    <w:lvl w:ilvl="5" w:tplc="3C0A001B" w:tentative="1">
      <w:start w:val="1"/>
      <w:numFmt w:val="lowerRoman"/>
      <w:lvlText w:val="%6."/>
      <w:lvlJc w:val="right"/>
      <w:pPr>
        <w:ind w:left="3676" w:hanging="180"/>
      </w:pPr>
    </w:lvl>
    <w:lvl w:ilvl="6" w:tplc="3C0A000F" w:tentative="1">
      <w:start w:val="1"/>
      <w:numFmt w:val="decimal"/>
      <w:lvlText w:val="%7."/>
      <w:lvlJc w:val="left"/>
      <w:pPr>
        <w:ind w:left="4396" w:hanging="360"/>
      </w:pPr>
    </w:lvl>
    <w:lvl w:ilvl="7" w:tplc="3C0A0019" w:tentative="1">
      <w:start w:val="1"/>
      <w:numFmt w:val="lowerLetter"/>
      <w:lvlText w:val="%8."/>
      <w:lvlJc w:val="left"/>
      <w:pPr>
        <w:ind w:left="5116" w:hanging="360"/>
      </w:pPr>
    </w:lvl>
    <w:lvl w:ilvl="8" w:tplc="3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A33AD3"/>
    <w:multiLevelType w:val="hybridMultilevel"/>
    <w:tmpl w:val="DBB671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426"/>
    <w:multiLevelType w:val="hybridMultilevel"/>
    <w:tmpl w:val="98B6119A"/>
    <w:lvl w:ilvl="0" w:tplc="435C8E04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E79"/>
    <w:multiLevelType w:val="hybridMultilevel"/>
    <w:tmpl w:val="993C050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0C5"/>
    <w:multiLevelType w:val="hybridMultilevel"/>
    <w:tmpl w:val="7960EE7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08F5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40EC"/>
    <w:multiLevelType w:val="hybridMultilevel"/>
    <w:tmpl w:val="D50017F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1B7B"/>
    <w:multiLevelType w:val="hybridMultilevel"/>
    <w:tmpl w:val="0E2AE07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7A06"/>
    <w:multiLevelType w:val="hybridMultilevel"/>
    <w:tmpl w:val="073CFE94"/>
    <w:lvl w:ilvl="0" w:tplc="3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B7305EA"/>
    <w:multiLevelType w:val="hybridMultilevel"/>
    <w:tmpl w:val="1B304DF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7D8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7746"/>
    <w:multiLevelType w:val="hybridMultilevel"/>
    <w:tmpl w:val="28B2844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07664"/>
    <w:multiLevelType w:val="hybridMultilevel"/>
    <w:tmpl w:val="3EA497F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A6B00"/>
    <w:multiLevelType w:val="hybridMultilevel"/>
    <w:tmpl w:val="3D207E66"/>
    <w:lvl w:ilvl="0" w:tplc="3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88112E2"/>
    <w:multiLevelType w:val="singleLevel"/>
    <w:tmpl w:val="48BA54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E"/>
    <w:rsid w:val="00032429"/>
    <w:rsid w:val="000A0F21"/>
    <w:rsid w:val="000A2A2B"/>
    <w:rsid w:val="000A7573"/>
    <w:rsid w:val="000C0815"/>
    <w:rsid w:val="000D7856"/>
    <w:rsid w:val="000F60B4"/>
    <w:rsid w:val="00162415"/>
    <w:rsid w:val="00167620"/>
    <w:rsid w:val="001823C1"/>
    <w:rsid w:val="001F53BE"/>
    <w:rsid w:val="00223CC8"/>
    <w:rsid w:val="002321CC"/>
    <w:rsid w:val="00295518"/>
    <w:rsid w:val="002A1F2A"/>
    <w:rsid w:val="002A600E"/>
    <w:rsid w:val="002C3184"/>
    <w:rsid w:val="0031576A"/>
    <w:rsid w:val="003220AB"/>
    <w:rsid w:val="0033022C"/>
    <w:rsid w:val="00352BF6"/>
    <w:rsid w:val="00375546"/>
    <w:rsid w:val="003C5028"/>
    <w:rsid w:val="003E447B"/>
    <w:rsid w:val="003F57C2"/>
    <w:rsid w:val="003F7F3F"/>
    <w:rsid w:val="00401BF5"/>
    <w:rsid w:val="00424760"/>
    <w:rsid w:val="00454A68"/>
    <w:rsid w:val="00474587"/>
    <w:rsid w:val="004D6E59"/>
    <w:rsid w:val="00515252"/>
    <w:rsid w:val="00547595"/>
    <w:rsid w:val="0055230F"/>
    <w:rsid w:val="005647AB"/>
    <w:rsid w:val="005932E1"/>
    <w:rsid w:val="005A6839"/>
    <w:rsid w:val="005C63D5"/>
    <w:rsid w:val="005E18EB"/>
    <w:rsid w:val="005E193F"/>
    <w:rsid w:val="00611D38"/>
    <w:rsid w:val="006126A8"/>
    <w:rsid w:val="00613F3A"/>
    <w:rsid w:val="0061513F"/>
    <w:rsid w:val="00644C73"/>
    <w:rsid w:val="00652DDB"/>
    <w:rsid w:val="00660BC6"/>
    <w:rsid w:val="00671FE3"/>
    <w:rsid w:val="006B338D"/>
    <w:rsid w:val="007345B6"/>
    <w:rsid w:val="00734B57"/>
    <w:rsid w:val="007418AB"/>
    <w:rsid w:val="00751DD2"/>
    <w:rsid w:val="00762028"/>
    <w:rsid w:val="00772182"/>
    <w:rsid w:val="007B1C3D"/>
    <w:rsid w:val="007B4724"/>
    <w:rsid w:val="007C0ADA"/>
    <w:rsid w:val="007D3668"/>
    <w:rsid w:val="008146AB"/>
    <w:rsid w:val="00833D54"/>
    <w:rsid w:val="00835F09"/>
    <w:rsid w:val="00853CE5"/>
    <w:rsid w:val="00860487"/>
    <w:rsid w:val="008C5452"/>
    <w:rsid w:val="00911B0F"/>
    <w:rsid w:val="00914CB2"/>
    <w:rsid w:val="00914F18"/>
    <w:rsid w:val="00954E82"/>
    <w:rsid w:val="009B27E3"/>
    <w:rsid w:val="009B3CA2"/>
    <w:rsid w:val="009B58F2"/>
    <w:rsid w:val="009D3A08"/>
    <w:rsid w:val="009E09A1"/>
    <w:rsid w:val="009E68BD"/>
    <w:rsid w:val="009F017A"/>
    <w:rsid w:val="00A336F3"/>
    <w:rsid w:val="00A34645"/>
    <w:rsid w:val="00A43578"/>
    <w:rsid w:val="00A50662"/>
    <w:rsid w:val="00A53F3F"/>
    <w:rsid w:val="00A55F0B"/>
    <w:rsid w:val="00A956B2"/>
    <w:rsid w:val="00A97451"/>
    <w:rsid w:val="00AD3642"/>
    <w:rsid w:val="00B13D72"/>
    <w:rsid w:val="00B15FD4"/>
    <w:rsid w:val="00B25473"/>
    <w:rsid w:val="00B3252B"/>
    <w:rsid w:val="00B90EA1"/>
    <w:rsid w:val="00BA41E7"/>
    <w:rsid w:val="00BA5125"/>
    <w:rsid w:val="00BA5A55"/>
    <w:rsid w:val="00BB18EB"/>
    <w:rsid w:val="00BD255B"/>
    <w:rsid w:val="00C02F56"/>
    <w:rsid w:val="00C341B2"/>
    <w:rsid w:val="00C76111"/>
    <w:rsid w:val="00C811A1"/>
    <w:rsid w:val="00CA19DC"/>
    <w:rsid w:val="00CA706E"/>
    <w:rsid w:val="00CA7B1D"/>
    <w:rsid w:val="00CC1844"/>
    <w:rsid w:val="00D005A0"/>
    <w:rsid w:val="00D163D9"/>
    <w:rsid w:val="00D30955"/>
    <w:rsid w:val="00D440D2"/>
    <w:rsid w:val="00D560F3"/>
    <w:rsid w:val="00D914E5"/>
    <w:rsid w:val="00DB16FA"/>
    <w:rsid w:val="00DB21C2"/>
    <w:rsid w:val="00DB6297"/>
    <w:rsid w:val="00DC3894"/>
    <w:rsid w:val="00DC3E18"/>
    <w:rsid w:val="00DC3EA5"/>
    <w:rsid w:val="00DF3ECC"/>
    <w:rsid w:val="00DF66C5"/>
    <w:rsid w:val="00E00C61"/>
    <w:rsid w:val="00E01CFA"/>
    <w:rsid w:val="00E04915"/>
    <w:rsid w:val="00E54023"/>
    <w:rsid w:val="00E71AB4"/>
    <w:rsid w:val="00EA6FB2"/>
    <w:rsid w:val="00EB08DA"/>
    <w:rsid w:val="00EC21E0"/>
    <w:rsid w:val="00ED15D3"/>
    <w:rsid w:val="00F0749D"/>
    <w:rsid w:val="00F70640"/>
    <w:rsid w:val="00F7509C"/>
    <w:rsid w:val="00F91494"/>
    <w:rsid w:val="00FC33C5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3BC46"/>
  <w15:chartTrackingRefBased/>
  <w15:docId w15:val="{2216567A-C4F1-4DA7-A994-FC638BF3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0E"/>
    <w:pPr>
      <w:spacing w:after="120" w:line="240" w:lineRule="atLeast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tulo1">
    <w:name w:val="heading 1"/>
    <w:aliases w:val="Attribute Heading 1"/>
    <w:basedOn w:val="Normal"/>
    <w:next w:val="Normal"/>
    <w:link w:val="Ttulo1Car"/>
    <w:qFormat/>
    <w:rsid w:val="00D914E5"/>
    <w:pPr>
      <w:keepNext/>
      <w:spacing w:before="24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Table Attribute Heading"/>
    <w:basedOn w:val="Ttulo2"/>
    <w:next w:val="Normal"/>
    <w:link w:val="Ttulo3Car"/>
    <w:qFormat/>
    <w:rsid w:val="00D914E5"/>
    <w:pPr>
      <w:keepLines w:val="0"/>
      <w:shd w:val="pct10" w:color="auto" w:fill="auto"/>
      <w:spacing w:before="0" w:line="240" w:lineRule="auto"/>
      <w:outlineLvl w:val="2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D914E5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E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E71BE"/>
  </w:style>
  <w:style w:type="paragraph" w:styleId="Piedepgina">
    <w:name w:val="footer"/>
    <w:basedOn w:val="Normal"/>
    <w:link w:val="PiedepginaCar"/>
    <w:uiPriority w:val="99"/>
    <w:unhideWhenUsed/>
    <w:rsid w:val="00FE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1BE"/>
  </w:style>
  <w:style w:type="character" w:customStyle="1" w:styleId="Ttulo1Car">
    <w:name w:val="Título 1 Car"/>
    <w:aliases w:val="Attribute Heading 1 Car"/>
    <w:basedOn w:val="Fuentedeprrafopredeter"/>
    <w:link w:val="Ttulo1"/>
    <w:rsid w:val="00D914E5"/>
    <w:rPr>
      <w:rFonts w:ascii="Times New Roman" w:eastAsia="Times New Roman" w:hAnsi="Times New Roman" w:cs="Times New Roman"/>
      <w:b/>
      <w:sz w:val="28"/>
      <w:szCs w:val="20"/>
      <w:lang w:val="es-AR" w:eastAsia="es-ES"/>
    </w:rPr>
  </w:style>
  <w:style w:type="character" w:customStyle="1" w:styleId="Ttulo3Car">
    <w:name w:val="Título 3 Car"/>
    <w:aliases w:val="Table Attribute Heading Car"/>
    <w:basedOn w:val="Fuentedeprrafopredeter"/>
    <w:link w:val="Ttulo3"/>
    <w:rsid w:val="00D914E5"/>
    <w:rPr>
      <w:rFonts w:ascii="Times New Roman" w:eastAsia="Times New Roman" w:hAnsi="Times New Roman" w:cs="Times New Roman"/>
      <w:b/>
      <w:sz w:val="20"/>
      <w:szCs w:val="20"/>
      <w:shd w:val="pct10" w:color="auto" w:fill="auto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D914E5"/>
    <w:rPr>
      <w:rFonts w:ascii="Arial" w:eastAsia="Times New Roman" w:hAnsi="Arial" w:cs="Arial"/>
      <w:b/>
      <w:bCs/>
      <w:sz w:val="20"/>
      <w:szCs w:val="20"/>
      <w:lang w:val="es-AR" w:eastAsia="es-ES"/>
    </w:rPr>
  </w:style>
  <w:style w:type="paragraph" w:customStyle="1" w:styleId="NormalTableText">
    <w:name w:val="Normal Table Text"/>
    <w:basedOn w:val="Normal"/>
    <w:rsid w:val="00D914E5"/>
    <w:pPr>
      <w:spacing w:after="0" w:line="240" w:lineRule="auto"/>
    </w:pPr>
    <w:rPr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4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 w:eastAsia="es-ES"/>
    </w:rPr>
  </w:style>
  <w:style w:type="paragraph" w:styleId="Prrafodelista">
    <w:name w:val="List Paragraph"/>
    <w:basedOn w:val="Normal"/>
    <w:uiPriority w:val="34"/>
    <w:qFormat/>
    <w:rsid w:val="00E540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5452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1"/>
      <w:sz w:val="20"/>
      <w:szCs w:val="18"/>
      <w:lang w:val="es-PY"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452"/>
    <w:rPr>
      <w:rFonts w:ascii="Calibri" w:eastAsia="Calibri" w:hAnsi="Calibri" w:cs="Mangal"/>
      <w:color w:val="000000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8C5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LANILLA%202021\PLANILLA%20DE%20CONTROL%20DIARIO%20CONSULTA%20CIUDADANIA%202021%20Meli%20Grafico%20-%20cop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LANILLA%202021\PLANILLA%20DE%20CONTROL%20DIARIO%20CONSULTA%20CIUDADANIA%202021%20Meli%20Grafico%20-%20copi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LANILLA%202021\PLANILLA%20DE%20CONTROL%20DIARIO%20CONSULTA%20CIUDADANIA%202021%20Meli%20Grafico%20-%20cop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9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96369469949138"/>
          <c:y val="0.11717510436064288"/>
          <c:w val="0.75814769359537415"/>
          <c:h val="0.7358268736580672"/>
        </c:manualLayout>
      </c:layout>
      <c:pie3D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77C-4422-8C66-4CC464B4B5B7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77C-4422-8C66-4CC464B4B5B7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9ACB-45CF-A383-024E89FB7556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CB-45CF-A383-024E89FB75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'SEMESTRAL JUL-DIC'!$B$8:$B$10</c:f>
              <c:strCache>
                <c:ptCount val="3"/>
                <c:pt idx="0">
                  <c:v>JOVEN </c:v>
                </c:pt>
                <c:pt idx="1">
                  <c:v>ADULTO</c:v>
                </c:pt>
                <c:pt idx="2">
                  <c:v>VULNERABLES </c:v>
                </c:pt>
              </c:strCache>
            </c:strRef>
          </c:cat>
          <c:val>
            <c:numRef>
              <c:f>'SEMESTRAL JUL-DIC'!$I$8:$I$10</c:f>
              <c:numCache>
                <c:formatCode>General</c:formatCode>
                <c:ptCount val="3"/>
                <c:pt idx="0">
                  <c:v>1411</c:v>
                </c:pt>
                <c:pt idx="1">
                  <c:v>8954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CB-45CF-A383-024E89FB755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47835103989736"/>
          <c:y val="0.1652559687931037"/>
          <c:w val="0.48470979174551848"/>
          <c:h val="0.8991623421784275"/>
        </c:manualLayout>
      </c:layout>
      <c:pieChart>
        <c:varyColors val="1"/>
        <c:ser>
          <c:idx val="0"/>
          <c:order val="0"/>
          <c:explosion val="5"/>
          <c:dPt>
            <c:idx val="1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2634-4986-AA15-B0A6F4625F86}"/>
              </c:ext>
            </c:extLst>
          </c:dPt>
          <c:dPt>
            <c:idx val="2"/>
            <c:bubble3D val="0"/>
            <c:explosion val="1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1-C47C-48CC-AAE3-E04B1837FAB9}"/>
              </c:ext>
            </c:extLst>
          </c:dPt>
          <c:dPt>
            <c:idx val="3"/>
            <c:bubble3D val="0"/>
            <c:spPr>
              <a:solidFill>
                <a:schemeClr val="accent5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2-C47C-48CC-AAE3-E04B1837FAB9}"/>
              </c:ext>
            </c:extLst>
          </c:dPt>
          <c:dLbls>
            <c:dLbl>
              <c:idx val="0"/>
              <c:layout>
                <c:manualLayout>
                  <c:x val="6.1571501298242612E-2"/>
                  <c:y val="3.50657901882600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47C-48CC-AAE3-E04B1837FAB9}"/>
                </c:ext>
              </c:extLst>
            </c:dLbl>
            <c:dLbl>
              <c:idx val="3"/>
              <c:layout>
                <c:manualLayout>
                  <c:x val="-3.2914310638959915E-2"/>
                  <c:y val="-4.386566083838552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ATENCIÓN A LA CIUDADANIA
</a:t>
                    </a:r>
                    <a:fld id="{00F56210-2E81-419C-8516-EAF2BCFC12EA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C47C-48CC-AAE3-E04B1837FAB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47C-48CC-AAE3-E04B1837FA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s-ES" b="1"/>
                </a:pPr>
                <a:endParaRPr lang="es-PY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'SEMESTRAL JUL-DIC'!$B$12:$B$17</c:f>
              <c:strCache>
                <c:ptCount val="6"/>
                <c:pt idx="0">
                  <c:v>PRESIDENCIA</c:v>
                </c:pt>
                <c:pt idx="1">
                  <c:v>AUDIENCIAS CONCEDIDAS POR SENADORES</c:v>
                </c:pt>
                <c:pt idx="2">
                  <c:v>VISITAS A COMISIONES</c:v>
                </c:pt>
                <c:pt idx="3">
                  <c:v>INFORMACIÓN PUBLICA</c:v>
                </c:pt>
                <c:pt idx="4">
                  <c:v>OTRAS DEPENDENCIAS</c:v>
                </c:pt>
                <c:pt idx="5">
                  <c:v>VISITA DE DELEGACIONES</c:v>
                </c:pt>
              </c:strCache>
            </c:strRef>
          </c:cat>
          <c:val>
            <c:numRef>
              <c:f>'SEMESTRAL JUL-DIC'!$I$12:$I$17</c:f>
              <c:numCache>
                <c:formatCode>General</c:formatCode>
                <c:ptCount val="6"/>
                <c:pt idx="0">
                  <c:v>487</c:v>
                </c:pt>
                <c:pt idx="1">
                  <c:v>4610</c:v>
                </c:pt>
                <c:pt idx="2">
                  <c:v>1463</c:v>
                </c:pt>
                <c:pt idx="3">
                  <c:v>758</c:v>
                </c:pt>
                <c:pt idx="4">
                  <c:v>3047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47C-48CC-AAE3-E04B1837FAB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47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62-4F4A-86F9-4D4A11C09A6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62-4F4A-86F9-4D4A11C09A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'SEMESTRAL JUL-DIC'!$B$5:$B$6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'SEMESTRAL JUL-DIC'!$I$5:$I$6</c:f>
              <c:numCache>
                <c:formatCode>General</c:formatCode>
                <c:ptCount val="2"/>
                <c:pt idx="0">
                  <c:v>6707</c:v>
                </c:pt>
                <c:pt idx="1">
                  <c:v>3658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F75-414E-BF15-1D0B24E19D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37276592"/>
        <c:axId val="1337280400"/>
      </c:barChart>
      <c:valAx>
        <c:axId val="1337280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37276592"/>
        <c:crosses val="autoZero"/>
        <c:crossBetween val="between"/>
      </c:valAx>
      <c:catAx>
        <c:axId val="133727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337280400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C8E0-BF1B-4F0F-A9CA-ADE4D9D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Atención a la Ciudadania Oficina</cp:lastModifiedBy>
  <cp:revision>7</cp:revision>
  <dcterms:created xsi:type="dcterms:W3CDTF">2021-12-16T15:29:00Z</dcterms:created>
  <dcterms:modified xsi:type="dcterms:W3CDTF">2021-12-17T13:36:00Z</dcterms:modified>
</cp:coreProperties>
</file>